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7B92" w14:textId="77777777" w:rsidR="00CF66C2" w:rsidRDefault="00D70038">
      <w:pPr>
        <w:rPr>
          <w:rFonts w:ascii="Palatino Linotype" w:hAnsi="Palatino Linotype"/>
          <w:b/>
          <w:bCs/>
          <w:sz w:val="24"/>
          <w:szCs w:val="24"/>
          <w:lang w:val="en-GB"/>
        </w:rPr>
      </w:pPr>
      <w:r w:rsidRPr="00D70038">
        <w:rPr>
          <w:rFonts w:ascii="Palatino Linotype" w:hAnsi="Palatino Linotype"/>
          <w:b/>
          <w:bCs/>
          <w:sz w:val="24"/>
          <w:szCs w:val="24"/>
          <w:lang w:val="en-GB"/>
        </w:rPr>
        <w:t xml:space="preserve">Supplementary </w:t>
      </w:r>
      <w:r w:rsidR="00CF66C2">
        <w:rPr>
          <w:rFonts w:ascii="Palatino Linotype" w:hAnsi="Palatino Linotype"/>
          <w:b/>
          <w:bCs/>
          <w:sz w:val="24"/>
          <w:szCs w:val="24"/>
          <w:lang w:val="en-GB"/>
        </w:rPr>
        <w:t>Material</w:t>
      </w:r>
    </w:p>
    <w:p w14:paraId="331FE590" w14:textId="179B2244" w:rsidR="00D70038" w:rsidRDefault="001A6E94">
      <w:pPr>
        <w:rPr>
          <w:rFonts w:ascii="Palatino Linotype" w:hAnsi="Palatino Linotype"/>
          <w:b/>
          <w:bCs/>
          <w:sz w:val="20"/>
          <w:szCs w:val="20"/>
          <w:lang w:val="en-GB"/>
        </w:rPr>
      </w:pPr>
      <w:r>
        <w:rPr>
          <w:rFonts w:ascii="Palatino Linotype" w:hAnsi="Palatino Linotype"/>
          <w:b/>
          <w:bCs/>
          <w:sz w:val="20"/>
          <w:szCs w:val="20"/>
          <w:lang w:val="en-GB"/>
        </w:rPr>
        <w:t>Method</w:t>
      </w:r>
      <w:r w:rsidR="00CF66C2">
        <w:rPr>
          <w:rFonts w:ascii="Palatino Linotype" w:hAnsi="Palatino Linotype"/>
          <w:b/>
          <w:bCs/>
          <w:sz w:val="20"/>
          <w:szCs w:val="20"/>
          <w:lang w:val="en-GB"/>
        </w:rPr>
        <w:t xml:space="preserve"> S1: PCR protocol for m</w:t>
      </w:r>
      <w:r w:rsidR="00D70038">
        <w:rPr>
          <w:rFonts w:ascii="Palatino Linotype" w:hAnsi="Palatino Linotype"/>
          <w:b/>
          <w:bCs/>
          <w:sz w:val="20"/>
          <w:szCs w:val="20"/>
          <w:lang w:val="en-GB"/>
        </w:rPr>
        <w:t>icrobiome analysis</w:t>
      </w:r>
    </w:p>
    <w:p w14:paraId="49C4831B" w14:textId="6826EFF9" w:rsidR="00D70038" w:rsidRPr="00D70038" w:rsidRDefault="00D70038" w:rsidP="00D70038">
      <w:pPr>
        <w:jc w:val="both"/>
        <w:rPr>
          <w:rFonts w:ascii="Palatino Linotype" w:hAnsi="Palatino Linotype"/>
          <w:sz w:val="20"/>
          <w:szCs w:val="20"/>
          <w:lang w:val="en-FI"/>
        </w:rPr>
      </w:pPr>
      <w:r w:rsidRPr="00D70038">
        <w:rPr>
          <w:rFonts w:ascii="Palatino Linotype" w:hAnsi="Palatino Linotype"/>
          <w:sz w:val="20"/>
          <w:szCs w:val="20"/>
          <w:lang w:val="en-FI"/>
        </w:rPr>
        <w:t xml:space="preserve">From the DNA samples, the variable regions V6-V8 of bacterial 16S rRNA genes were amplified by nested PCR approach. We performed first round of PCR reactions with 30 ng DNA, 1X PCR buffer, 0.2 mM dNTPs, 0.3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μM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each of primers 799F (AACMGGATTAGATACCCKG) </w:t>
      </w:r>
      <w:r w:rsidR="00731923">
        <w:rPr>
          <w:rFonts w:ascii="Palatino Linotype" w:hAnsi="Palatino Linotype"/>
          <w:sz w:val="20"/>
          <w:szCs w:val="20"/>
          <w:lang w:val="en-GB"/>
        </w:rPr>
        <w:t>[57]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 and 1492R (GGYTACCTTGTTACGACTT) (modified from </w:t>
      </w:r>
      <w:r w:rsidR="00731923">
        <w:rPr>
          <w:rFonts w:ascii="Palatino Linotype" w:hAnsi="Palatino Linotype"/>
          <w:sz w:val="20"/>
          <w:szCs w:val="20"/>
          <w:lang w:val="en-GB"/>
        </w:rPr>
        <w:t>[58]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) and 2000 U/ml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GoTaq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DNA Polymerase (Promega, WI, USA) in a 30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μl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reaction volume. This was followed by a second round of PCR with 1:10 diluted PCR product from round 1, 1X PCR buffer, 0.2 mM dNTPs, 0.3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μM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and M13-1062F (TGTAAACGACGGCCAGTGTCAGCTCGTGYYGTGA, </w:t>
      </w:r>
      <w:r w:rsidR="00731923">
        <w:rPr>
          <w:rFonts w:ascii="Palatino Linotype" w:hAnsi="Palatino Linotype"/>
          <w:sz w:val="20"/>
          <w:szCs w:val="20"/>
          <w:lang w:val="en-GB"/>
        </w:rPr>
        <w:t>[59, 60]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 and 1390R (ACGGGCGGTGTGTRCAA) </w:t>
      </w:r>
      <w:r w:rsidR="00731923">
        <w:rPr>
          <w:rFonts w:ascii="Palatino Linotype" w:hAnsi="Palatino Linotype"/>
          <w:sz w:val="20"/>
          <w:szCs w:val="20"/>
          <w:lang w:val="en-GB"/>
        </w:rPr>
        <w:t>[61]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 primers. A third round of PCR was done with 1:1 dilution of second PCR product, IonA-barcode-M13 primers </w:t>
      </w:r>
      <w:r w:rsidR="00731923">
        <w:rPr>
          <w:rFonts w:ascii="Palatino Linotype" w:hAnsi="Palatino Linotype"/>
          <w:sz w:val="20"/>
          <w:szCs w:val="20"/>
          <w:lang w:val="en-GB"/>
        </w:rPr>
        <w:t xml:space="preserve">[60] 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for sample tagging and1390R-P1 for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IonTorrent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PGM sequencing. The PCR profile: 3 min initial denaturation at 95°C, denaturing at 95°C for 45 s, annealing at 54°C for 45 s, and extension at 72°C for 1 min, and final extension at 72°C for 5 min was set on thermocycler (BIORAD). The same protocol was followed with 35 cycles for first round, 25 and 8 cycles, for second and third rounds, respectively. </w:t>
      </w:r>
    </w:p>
    <w:p w14:paraId="12E67934" w14:textId="7F86149A" w:rsidR="00D70038" w:rsidRDefault="00D70038" w:rsidP="00D70038">
      <w:pPr>
        <w:jc w:val="both"/>
        <w:rPr>
          <w:rFonts w:ascii="Palatino Linotype" w:hAnsi="Palatino Linotype"/>
          <w:sz w:val="20"/>
          <w:szCs w:val="20"/>
          <w:lang w:val="en-FI"/>
        </w:rPr>
      </w:pPr>
      <w:r>
        <w:rPr>
          <w:rFonts w:ascii="Palatino Linotype" w:hAnsi="Palatino Linotype"/>
          <w:sz w:val="20"/>
          <w:szCs w:val="20"/>
          <w:lang w:val="en-GB"/>
        </w:rPr>
        <w:t>T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he Internal Transcribed Sequence (ITS) regions </w:t>
      </w:r>
      <w:r>
        <w:rPr>
          <w:rFonts w:ascii="Palatino Linotype" w:hAnsi="Palatino Linotype"/>
          <w:sz w:val="20"/>
          <w:szCs w:val="20"/>
          <w:lang w:val="en-GB"/>
        </w:rPr>
        <w:t xml:space="preserve">were amplified </w:t>
      </w:r>
      <w:r w:rsidRPr="00D70038">
        <w:rPr>
          <w:rFonts w:ascii="Palatino Linotype" w:hAnsi="Palatino Linotype"/>
          <w:sz w:val="20"/>
          <w:szCs w:val="20"/>
          <w:lang w:val="en-FI"/>
        </w:rPr>
        <w:t xml:space="preserve">using primers M13-ITS7F (TGTAAAACGACGGCCAGTGTGARTCATCGAATCTTTG) and ITS4R (TCC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TCC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GCT TAT TGA TAT GC) </w:t>
      </w:r>
      <w:r w:rsidR="00D77CE7">
        <w:rPr>
          <w:rFonts w:ascii="Palatino Linotype" w:hAnsi="Palatino Linotype"/>
          <w:sz w:val="20"/>
          <w:szCs w:val="20"/>
          <w:lang w:val="en-GB"/>
        </w:rPr>
        <w:t>[62]</w:t>
      </w:r>
      <w:r w:rsidRPr="00D70038">
        <w:rPr>
          <w:rFonts w:ascii="Palatino Linotype" w:hAnsi="Palatino Linotype"/>
          <w:sz w:val="20"/>
          <w:szCs w:val="20"/>
          <w:lang w:val="en-FI"/>
        </w:rPr>
        <w:t>. The 30 µl reaction mixture contained 30 ng of sample DNA, 1x PCR buffer, 0.2 mM dNTPs, 0.3 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μM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of each primer and 1250 U/ml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GoTaq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DNA Polymerase (Promega, WI, USA). We performed the second round of PCR using 1:10 dilution of first PCR product as template, 1x PCR buffer, 0.2 mM dNTPs, 0.3 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μM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of each primer and 1250 U/ml </w:t>
      </w:r>
      <w:proofErr w:type="spellStart"/>
      <w:r w:rsidRPr="00D70038">
        <w:rPr>
          <w:rFonts w:ascii="Palatino Linotype" w:hAnsi="Palatino Linotype"/>
          <w:sz w:val="20"/>
          <w:szCs w:val="20"/>
          <w:lang w:val="en-FI"/>
        </w:rPr>
        <w:t>GoTaq</w:t>
      </w:r>
      <w:proofErr w:type="spellEnd"/>
      <w:r w:rsidRPr="00D70038">
        <w:rPr>
          <w:rFonts w:ascii="Palatino Linotype" w:hAnsi="Palatino Linotype"/>
          <w:sz w:val="20"/>
          <w:szCs w:val="20"/>
          <w:lang w:val="en-FI"/>
        </w:rPr>
        <w:t xml:space="preserve"> DNA Polymerase, barcode-M13 forward primer and ITS4-P1 (CCTCTCTATGGGCAGTCGGTGATTCCTCGCTTATTGATATGC) as reverse primer. The amplification profile was 5 mins initial denaturation at 95 °C followed by denaturing, annealing, and extension at 95 °C for 30 s, 55 °C for 30 s and 72 °C for 1 min, repeated at 35 cycles for first round and 8 cycles for the second round. Final extension was carried out at 72 °C for 7 mins. </w:t>
      </w:r>
    </w:p>
    <w:p w14:paraId="1B827870" w14:textId="7753277E" w:rsidR="00CF66C2" w:rsidRDefault="00CF66C2" w:rsidP="00D70038">
      <w:pPr>
        <w:jc w:val="both"/>
        <w:rPr>
          <w:rFonts w:ascii="Palatino Linotype" w:hAnsi="Palatino Linotype"/>
          <w:sz w:val="20"/>
          <w:szCs w:val="20"/>
          <w:lang w:val="en-FI"/>
        </w:rPr>
      </w:pPr>
    </w:p>
    <w:p w14:paraId="5FA9DCF6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0770BEE7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54744E03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49C69884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434D18AF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6D246CEA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43C28C44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26F2D5DA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1177120F" w14:textId="77777777" w:rsidR="00CF66C2" w:rsidRDefault="00CF66C2" w:rsidP="00CF66C2">
      <w:pPr>
        <w:jc w:val="both"/>
        <w:rPr>
          <w:rFonts w:ascii="Palatino Linotype" w:hAnsi="Palatino Linotype"/>
          <w:sz w:val="18"/>
          <w:szCs w:val="18"/>
        </w:rPr>
      </w:pPr>
    </w:p>
    <w:p w14:paraId="474892A1" w14:textId="51FD0963" w:rsidR="00CF66C2" w:rsidRDefault="00CF66C2" w:rsidP="00CF66C2">
      <w:pPr>
        <w:jc w:val="both"/>
        <w:rPr>
          <w:rFonts w:ascii="Palatino Linotype" w:hAnsi="Palatino Linotype"/>
          <w:sz w:val="20"/>
          <w:szCs w:val="20"/>
        </w:rPr>
      </w:pPr>
    </w:p>
    <w:p w14:paraId="735E07FC" w14:textId="77777777" w:rsidR="0072562E" w:rsidRDefault="0072562E" w:rsidP="00CF66C2">
      <w:pPr>
        <w:jc w:val="both"/>
        <w:rPr>
          <w:rFonts w:ascii="Palatino Linotype" w:hAnsi="Palatino Linotype"/>
          <w:sz w:val="20"/>
          <w:szCs w:val="20"/>
        </w:rPr>
      </w:pPr>
    </w:p>
    <w:p w14:paraId="1754FB08" w14:textId="77777777" w:rsidR="00CF66C2" w:rsidRDefault="00CF66C2" w:rsidP="00CF66C2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W w:w="9563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783"/>
        <w:gridCol w:w="1204"/>
        <w:gridCol w:w="1209"/>
        <w:gridCol w:w="967"/>
        <w:gridCol w:w="998"/>
        <w:gridCol w:w="1128"/>
        <w:gridCol w:w="912"/>
        <w:gridCol w:w="2362"/>
      </w:tblGrid>
      <w:tr w:rsidR="00CF66C2" w:rsidRPr="00CF66C2" w14:paraId="51C1FE0B" w14:textId="77777777" w:rsidTr="00CF66C2">
        <w:trPr>
          <w:trHeight w:val="326"/>
        </w:trPr>
        <w:tc>
          <w:tcPr>
            <w:tcW w:w="0" w:type="auto"/>
            <w:gridSpan w:val="8"/>
            <w:tcBorders>
              <w:bottom w:val="single" w:sz="4" w:space="0" w:color="000000"/>
            </w:tcBorders>
          </w:tcPr>
          <w:p w14:paraId="17FF69AF" w14:textId="77777777" w:rsidR="0098207A" w:rsidRDefault="00CF66C2" w:rsidP="0098207A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98207A">
              <w:rPr>
                <w:rFonts w:ascii="Palatino Linotype" w:hAnsi="Palatino Linotype"/>
                <w:b/>
                <w:bCs/>
                <w:sz w:val="20"/>
                <w:szCs w:val="20"/>
              </w:rPr>
              <w:lastRenderedPageBreak/>
              <w:t>Table S1</w:t>
            </w:r>
            <w:r w:rsidRPr="00CF66C2">
              <w:rPr>
                <w:rFonts w:ascii="Palatino Linotype" w:hAnsi="Palatino Linotype"/>
                <w:sz w:val="20"/>
                <w:szCs w:val="20"/>
              </w:rPr>
              <w:t xml:space="preserve">: </w:t>
            </w:r>
            <w:r w:rsidRPr="0098207A">
              <w:rPr>
                <w:rFonts w:ascii="Palatino Linotype" w:eastAsia="Times New Roman" w:hAnsi="Palatino Linotype"/>
                <w:bCs/>
                <w:sz w:val="20"/>
                <w:szCs w:val="20"/>
              </w:rPr>
              <w:t xml:space="preserve">SIMPER (Similarity Percentages) analysis in leaves of E+ and E- plants in total and </w:t>
            </w:r>
            <w:proofErr w:type="spellStart"/>
            <w:r w:rsidRPr="0098207A">
              <w:rPr>
                <w:rFonts w:ascii="Palatino Linotype" w:eastAsia="Times New Roman" w:hAnsi="Palatino Linotype"/>
                <w:bCs/>
                <w:i/>
                <w:sz w:val="20"/>
                <w:szCs w:val="20"/>
              </w:rPr>
              <w:t>Epichloë</w:t>
            </w:r>
            <w:proofErr w:type="spellEnd"/>
            <w:r w:rsidRPr="0098207A">
              <w:rPr>
                <w:rFonts w:ascii="Palatino Linotype" w:eastAsia="Times New Roman" w:hAnsi="Palatino Linotype"/>
                <w:bCs/>
                <w:sz w:val="20"/>
                <w:szCs w:val="20"/>
              </w:rPr>
              <w:t>-depleted fungal communities</w:t>
            </w:r>
            <w:r w:rsidRPr="00CF66C2">
              <w:rPr>
                <w:rFonts w:ascii="Palatino Linotype" w:eastAsia="Times New Roman" w:hAnsi="Palatino Linotype"/>
                <w:b/>
                <w:sz w:val="20"/>
                <w:szCs w:val="20"/>
              </w:rPr>
              <w:t xml:space="preserve"> </w:t>
            </w:r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(VE- ‘Valtteri’ plants without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>Epichloë</w:t>
            </w:r>
            <w:proofErr w:type="spellEnd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 xml:space="preserve">, </w:t>
            </w:r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VE+ - ‘Valtteri’ with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>Epichloë</w:t>
            </w:r>
            <w:proofErr w:type="spellEnd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 xml:space="preserve">, </w:t>
            </w:r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KE- ‘Kasper’ without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>Epichloë</w:t>
            </w:r>
            <w:proofErr w:type="spellEnd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 xml:space="preserve"> </w:t>
            </w:r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and KE+ ‘Kasper’ with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20"/>
                <w:szCs w:val="20"/>
              </w:rPr>
              <w:t>Epichloë</w:t>
            </w:r>
            <w:proofErr w:type="spell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) showing </w:t>
            </w:r>
            <w:proofErr w:type="spellStart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>micobial</w:t>
            </w:r>
            <w:proofErr w:type="spell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 taxa with difference in average relative abundances. OTUs – Operational Taxonomic Units, </w:t>
            </w: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>Av.Abund</w:t>
            </w:r>
            <w:proofErr w:type="spellEnd"/>
            <w:proofErr w:type="gram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 – Average Abundance, </w:t>
            </w:r>
            <w:proofErr w:type="spellStart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>Av.Diss</w:t>
            </w:r>
            <w:proofErr w:type="spell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. – Average Dissimilarity, Diss/SD – Dissimilarity/ Standard Deviation, </w:t>
            </w:r>
            <w:proofErr w:type="spellStart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>Contrib</w:t>
            </w:r>
            <w:proofErr w:type="spell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% - </w:t>
            </w:r>
            <w:proofErr w:type="spellStart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>Contibution</w:t>
            </w:r>
            <w:proofErr w:type="spellEnd"/>
            <w:r w:rsidRPr="00CF66C2">
              <w:rPr>
                <w:rFonts w:ascii="Palatino Linotype" w:eastAsia="Times New Roman" w:hAnsi="Palatino Linotype"/>
                <w:sz w:val="20"/>
                <w:szCs w:val="20"/>
              </w:rPr>
              <w:t xml:space="preserve"> percentage, Cum% - Cumulative percentage</w:t>
            </w:r>
          </w:p>
          <w:p w14:paraId="41CF88DB" w14:textId="37642580" w:rsidR="00CF66C2" w:rsidRPr="00CF66C2" w:rsidRDefault="00CF66C2" w:rsidP="0098207A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Total communities</w:t>
            </w:r>
          </w:p>
        </w:tc>
      </w:tr>
      <w:tr w:rsidR="00CF66C2" w:rsidRPr="00CF66C2" w14:paraId="273C02CE" w14:textId="77777777" w:rsidTr="00CF66C2">
        <w:trPr>
          <w:trHeight w:val="518"/>
        </w:trPr>
        <w:tc>
          <w:tcPr>
            <w:tcW w:w="0" w:type="auto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1A3BC696" w14:textId="2AB631EB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Groups VE- </w:t>
            </w:r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&amp;  VE</w:t>
            </w:r>
            <w:proofErr w:type="gram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+</w:t>
            </w:r>
          </w:p>
          <w:p w14:paraId="023E332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Average dissimilarity = 77.97</w:t>
            </w:r>
          </w:p>
        </w:tc>
      </w:tr>
      <w:tr w:rsidR="00CF66C2" w:rsidRPr="00CF66C2" w14:paraId="74B2D9B7" w14:textId="77777777" w:rsidTr="00CF66C2">
        <w:trPr>
          <w:trHeight w:val="32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4446AC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FC26D1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VE-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0E0597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VE+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9D5B82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705617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478004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AAF373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EE57B2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</w:tr>
      <w:tr w:rsidR="00CF66C2" w:rsidRPr="00CF66C2" w14:paraId="18D2955B" w14:textId="77777777" w:rsidTr="00CF66C2">
        <w:trPr>
          <w:trHeight w:val="32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C572B35" w14:textId="15EC282A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OTUs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7214F1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3E51AF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747A91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Av.Diss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32E451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Diss/SD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11CB77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Contrib</w:t>
            </w:r>
            <w:proofErr w:type="spell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5B6B6E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Cum.%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D93C3F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Taxa</w:t>
            </w:r>
          </w:p>
        </w:tc>
      </w:tr>
      <w:tr w:rsidR="00CF66C2" w:rsidRPr="00CF66C2" w14:paraId="3FF31898" w14:textId="77777777" w:rsidTr="00CF66C2">
        <w:trPr>
          <w:trHeight w:val="400"/>
        </w:trPr>
        <w:tc>
          <w:tcPr>
            <w:tcW w:w="0" w:type="auto"/>
            <w:tcBorders>
              <w:top w:val="single" w:sz="4" w:space="0" w:color="000000"/>
            </w:tcBorders>
          </w:tcPr>
          <w:p w14:paraId="61B892B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00E2058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79F9B2B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59.43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7B4B52E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29.7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13B7731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4.12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7FC7A5E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38.1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934799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38.1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5D2A6F0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Epichloë</w:t>
            </w:r>
            <w:proofErr w:type="spellEnd"/>
          </w:p>
        </w:tc>
      </w:tr>
      <w:tr w:rsidR="00CF66C2" w:rsidRPr="00CF66C2" w14:paraId="54CA6EB2" w14:textId="77777777" w:rsidTr="00CF66C2">
        <w:trPr>
          <w:trHeight w:val="326"/>
        </w:trPr>
        <w:tc>
          <w:tcPr>
            <w:tcW w:w="0" w:type="auto"/>
          </w:tcPr>
          <w:p w14:paraId="6C03550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</w:t>
            </w:r>
          </w:p>
        </w:tc>
        <w:tc>
          <w:tcPr>
            <w:tcW w:w="0" w:type="auto"/>
          </w:tcPr>
          <w:p w14:paraId="56E12D1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28.53</w:t>
            </w:r>
          </w:p>
        </w:tc>
        <w:tc>
          <w:tcPr>
            <w:tcW w:w="0" w:type="auto"/>
          </w:tcPr>
          <w:p w14:paraId="178C368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8.75</w:t>
            </w:r>
          </w:p>
        </w:tc>
        <w:tc>
          <w:tcPr>
            <w:tcW w:w="0" w:type="auto"/>
          </w:tcPr>
          <w:p w14:paraId="7915C5F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11.24</w:t>
            </w:r>
          </w:p>
        </w:tc>
        <w:tc>
          <w:tcPr>
            <w:tcW w:w="0" w:type="auto"/>
          </w:tcPr>
          <w:p w14:paraId="53579F0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1.4</w:t>
            </w:r>
          </w:p>
        </w:tc>
        <w:tc>
          <w:tcPr>
            <w:tcW w:w="0" w:type="auto"/>
          </w:tcPr>
          <w:p w14:paraId="637C4F0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14.42</w:t>
            </w:r>
          </w:p>
        </w:tc>
        <w:tc>
          <w:tcPr>
            <w:tcW w:w="0" w:type="auto"/>
          </w:tcPr>
          <w:p w14:paraId="32F0423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52.52</w:t>
            </w:r>
          </w:p>
        </w:tc>
        <w:tc>
          <w:tcPr>
            <w:tcW w:w="0" w:type="auto"/>
          </w:tcPr>
          <w:p w14:paraId="462A0CA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Mycosphaerella_tassiana</w:t>
            </w:r>
            <w:proofErr w:type="spellEnd"/>
          </w:p>
          <w:p w14:paraId="563545F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</w:p>
        </w:tc>
      </w:tr>
      <w:tr w:rsidR="00CF66C2" w:rsidRPr="00CF66C2" w14:paraId="4296AF42" w14:textId="77777777" w:rsidTr="00CF66C2">
        <w:trPr>
          <w:trHeight w:val="326"/>
        </w:trPr>
        <w:tc>
          <w:tcPr>
            <w:tcW w:w="0" w:type="auto"/>
            <w:gridSpan w:val="8"/>
            <w:tcBorders>
              <w:bottom w:val="single" w:sz="4" w:space="0" w:color="000000"/>
            </w:tcBorders>
          </w:tcPr>
          <w:p w14:paraId="75058B90" w14:textId="1D88F89C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Groups KE- </w:t>
            </w:r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&amp;  KE</w:t>
            </w:r>
            <w:proofErr w:type="gram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+</w:t>
            </w:r>
          </w:p>
          <w:p w14:paraId="70C7F88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Average dissimilarity = 81.97</w:t>
            </w:r>
          </w:p>
        </w:tc>
      </w:tr>
      <w:tr w:rsidR="00CF66C2" w:rsidRPr="00CF66C2" w14:paraId="179FFFFD" w14:textId="77777777" w:rsidTr="00CF66C2">
        <w:trPr>
          <w:trHeight w:val="32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9CE4AD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A193DF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KE-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56A36B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KE+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6C2077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CA512C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3CF59F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4BBB04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F6743C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</w:tr>
      <w:tr w:rsidR="00CF66C2" w:rsidRPr="00CF66C2" w14:paraId="2F213A9D" w14:textId="77777777" w:rsidTr="00CF66C2">
        <w:trPr>
          <w:trHeight w:val="32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02C467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bCs/>
                <w:sz w:val="18"/>
                <w:szCs w:val="18"/>
              </w:rPr>
              <w:t>OTUs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D97BD2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140B2D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A1915E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Av.Diss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F6A234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Diss/SD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75D70A0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Contrib</w:t>
            </w:r>
            <w:proofErr w:type="spell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5A91FE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Cum.%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43923D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</w:tr>
      <w:tr w:rsidR="00CF66C2" w:rsidRPr="00CF66C2" w14:paraId="5FD0DB80" w14:textId="77777777" w:rsidTr="00CF66C2">
        <w:trPr>
          <w:trHeight w:val="326"/>
        </w:trPr>
        <w:tc>
          <w:tcPr>
            <w:tcW w:w="0" w:type="auto"/>
            <w:tcBorders>
              <w:top w:val="single" w:sz="4" w:space="0" w:color="000000"/>
            </w:tcBorders>
          </w:tcPr>
          <w:p w14:paraId="28D2596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8BC790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617B7BE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36.83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594DF50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18.4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1EBE2E1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2.88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00FBF23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22.45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5C870B9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22.45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43D50FE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Epichloë</w:t>
            </w:r>
            <w:proofErr w:type="spellEnd"/>
          </w:p>
        </w:tc>
      </w:tr>
      <w:tr w:rsidR="00CF66C2" w:rsidRPr="00CF66C2" w14:paraId="518278E5" w14:textId="77777777" w:rsidTr="00CF66C2">
        <w:trPr>
          <w:trHeight w:val="326"/>
        </w:trPr>
        <w:tc>
          <w:tcPr>
            <w:tcW w:w="0" w:type="auto"/>
          </w:tcPr>
          <w:p w14:paraId="6A81A69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</w:t>
            </w:r>
          </w:p>
        </w:tc>
        <w:tc>
          <w:tcPr>
            <w:tcW w:w="0" w:type="auto"/>
          </w:tcPr>
          <w:p w14:paraId="0AE21BE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30.87</w:t>
            </w:r>
          </w:p>
        </w:tc>
        <w:tc>
          <w:tcPr>
            <w:tcW w:w="0" w:type="auto"/>
          </w:tcPr>
          <w:p w14:paraId="1F54FCE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7.06</w:t>
            </w:r>
          </w:p>
        </w:tc>
        <w:tc>
          <w:tcPr>
            <w:tcW w:w="0" w:type="auto"/>
          </w:tcPr>
          <w:p w14:paraId="1A7611A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11.94</w:t>
            </w:r>
          </w:p>
        </w:tc>
        <w:tc>
          <w:tcPr>
            <w:tcW w:w="0" w:type="auto"/>
          </w:tcPr>
          <w:p w14:paraId="3E907D0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2.24</w:t>
            </w:r>
          </w:p>
        </w:tc>
        <w:tc>
          <w:tcPr>
            <w:tcW w:w="0" w:type="auto"/>
          </w:tcPr>
          <w:p w14:paraId="4818457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14.57</w:t>
            </w:r>
          </w:p>
        </w:tc>
        <w:tc>
          <w:tcPr>
            <w:tcW w:w="0" w:type="auto"/>
          </w:tcPr>
          <w:p w14:paraId="662D9F4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37.02</w:t>
            </w:r>
          </w:p>
        </w:tc>
        <w:tc>
          <w:tcPr>
            <w:tcW w:w="0" w:type="auto"/>
          </w:tcPr>
          <w:p w14:paraId="7F433CD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Mycosphaerella_tassiana</w:t>
            </w:r>
            <w:proofErr w:type="spellEnd"/>
          </w:p>
        </w:tc>
      </w:tr>
      <w:tr w:rsidR="00CF66C2" w:rsidRPr="00CF66C2" w14:paraId="3B2210CA" w14:textId="77777777" w:rsidTr="00CF66C2">
        <w:trPr>
          <w:trHeight w:val="326"/>
        </w:trPr>
        <w:tc>
          <w:tcPr>
            <w:tcW w:w="0" w:type="auto"/>
          </w:tcPr>
          <w:p w14:paraId="1564D33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otu3</w:t>
            </w:r>
          </w:p>
        </w:tc>
        <w:tc>
          <w:tcPr>
            <w:tcW w:w="0" w:type="auto"/>
          </w:tcPr>
          <w:p w14:paraId="5807BFA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0.03</w:t>
            </w:r>
          </w:p>
        </w:tc>
        <w:tc>
          <w:tcPr>
            <w:tcW w:w="0" w:type="auto"/>
          </w:tcPr>
          <w:p w14:paraId="3C4FEE8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18.91</w:t>
            </w:r>
          </w:p>
        </w:tc>
        <w:tc>
          <w:tcPr>
            <w:tcW w:w="0" w:type="auto"/>
          </w:tcPr>
          <w:p w14:paraId="617EF68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9.45</w:t>
            </w:r>
          </w:p>
        </w:tc>
        <w:tc>
          <w:tcPr>
            <w:tcW w:w="0" w:type="auto"/>
          </w:tcPr>
          <w:p w14:paraId="5EC577E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1.8</w:t>
            </w:r>
          </w:p>
        </w:tc>
        <w:tc>
          <w:tcPr>
            <w:tcW w:w="0" w:type="auto"/>
          </w:tcPr>
          <w:p w14:paraId="5896D73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11.52</w:t>
            </w:r>
          </w:p>
        </w:tc>
        <w:tc>
          <w:tcPr>
            <w:tcW w:w="0" w:type="auto"/>
          </w:tcPr>
          <w:p w14:paraId="2DCAB56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48.55</w:t>
            </w:r>
          </w:p>
        </w:tc>
        <w:tc>
          <w:tcPr>
            <w:tcW w:w="0" w:type="auto"/>
          </w:tcPr>
          <w:p w14:paraId="549D8C7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Cadophora</w:t>
            </w:r>
            <w:proofErr w:type="spellEnd"/>
          </w:p>
        </w:tc>
      </w:tr>
      <w:tr w:rsidR="00CF66C2" w:rsidRPr="00CF66C2" w14:paraId="47411BD6" w14:textId="77777777" w:rsidTr="00CF66C2">
        <w:trPr>
          <w:trHeight w:val="326"/>
        </w:trPr>
        <w:tc>
          <w:tcPr>
            <w:tcW w:w="0" w:type="auto"/>
          </w:tcPr>
          <w:p w14:paraId="24EAD64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otu4</w:t>
            </w:r>
          </w:p>
        </w:tc>
        <w:tc>
          <w:tcPr>
            <w:tcW w:w="0" w:type="auto"/>
          </w:tcPr>
          <w:p w14:paraId="602AFA7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14:paraId="6BD6B80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7.82</w:t>
            </w:r>
          </w:p>
        </w:tc>
        <w:tc>
          <w:tcPr>
            <w:tcW w:w="0" w:type="auto"/>
          </w:tcPr>
          <w:p w14:paraId="275F1C3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3.91</w:t>
            </w:r>
          </w:p>
        </w:tc>
        <w:tc>
          <w:tcPr>
            <w:tcW w:w="0" w:type="auto"/>
          </w:tcPr>
          <w:p w14:paraId="06C9657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1.89</w:t>
            </w:r>
          </w:p>
        </w:tc>
        <w:tc>
          <w:tcPr>
            <w:tcW w:w="0" w:type="auto"/>
          </w:tcPr>
          <w:p w14:paraId="774520C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4.77</w:t>
            </w:r>
          </w:p>
        </w:tc>
        <w:tc>
          <w:tcPr>
            <w:tcW w:w="0" w:type="auto"/>
          </w:tcPr>
          <w:p w14:paraId="32082B4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53.31</w:t>
            </w:r>
          </w:p>
        </w:tc>
        <w:tc>
          <w:tcPr>
            <w:tcW w:w="0" w:type="auto"/>
          </w:tcPr>
          <w:p w14:paraId="7E70C4F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Heliotales_unidentified</w:t>
            </w:r>
            <w:proofErr w:type="spellEnd"/>
          </w:p>
        </w:tc>
      </w:tr>
      <w:tr w:rsidR="00CF66C2" w:rsidRPr="00CF66C2" w14:paraId="3CB90619" w14:textId="77777777" w:rsidTr="00CF66C2">
        <w:trPr>
          <w:trHeight w:val="326"/>
        </w:trPr>
        <w:tc>
          <w:tcPr>
            <w:tcW w:w="0" w:type="auto"/>
          </w:tcPr>
          <w:p w14:paraId="27D5ADF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4B80CD8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27598F3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31D8A67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5F763F5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566934A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1D1636D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7842FB8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</w:tr>
      <w:tr w:rsidR="00CF66C2" w:rsidRPr="00CF66C2" w14:paraId="2530B7CA" w14:textId="77777777" w:rsidTr="00CF66C2">
        <w:trPr>
          <w:trHeight w:val="326"/>
        </w:trPr>
        <w:tc>
          <w:tcPr>
            <w:tcW w:w="0" w:type="auto"/>
            <w:gridSpan w:val="8"/>
            <w:tcBorders>
              <w:bottom w:val="single" w:sz="4" w:space="0" w:color="000000"/>
            </w:tcBorders>
          </w:tcPr>
          <w:p w14:paraId="212BB7A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b/>
                <w:i/>
                <w:sz w:val="18"/>
                <w:szCs w:val="18"/>
              </w:rPr>
              <w:t>Epichloë</w:t>
            </w:r>
            <w:proofErr w:type="spell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-depleted communities</w:t>
            </w:r>
          </w:p>
        </w:tc>
      </w:tr>
      <w:tr w:rsidR="00CF66C2" w:rsidRPr="00CF66C2" w14:paraId="7D6F0A17" w14:textId="77777777" w:rsidTr="00CF66C2">
        <w:trPr>
          <w:trHeight w:val="326"/>
        </w:trPr>
        <w:tc>
          <w:tcPr>
            <w:tcW w:w="0" w:type="auto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59079679" w14:textId="2A15B336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Groups VE- </w:t>
            </w:r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&amp;  VE</w:t>
            </w:r>
            <w:proofErr w:type="gram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+</w:t>
            </w:r>
          </w:p>
          <w:p w14:paraId="132494D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Average dissimilarity = 55.99</w:t>
            </w:r>
          </w:p>
        </w:tc>
      </w:tr>
      <w:tr w:rsidR="00CF66C2" w:rsidRPr="00CF66C2" w14:paraId="58DDC092" w14:textId="77777777" w:rsidTr="00CF66C2">
        <w:trPr>
          <w:trHeight w:val="29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7E31C9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ECC15E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VE-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672463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VE+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8FBB3D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1B30455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5E0A71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678108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71FC53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</w:tr>
      <w:tr w:rsidR="00CF66C2" w:rsidRPr="00CF66C2" w14:paraId="3648A5EC" w14:textId="77777777" w:rsidTr="00CF66C2">
        <w:trPr>
          <w:trHeight w:val="29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E3188F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OTUs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D60431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0FAE7F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4A2501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Av.Diss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1E850C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Diss/SD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86F15B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Contrib</w:t>
            </w:r>
            <w:proofErr w:type="spell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8A0F54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Cum.%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1EDAE6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Taxa</w:t>
            </w:r>
          </w:p>
        </w:tc>
      </w:tr>
      <w:tr w:rsidR="00CF66C2" w:rsidRPr="00CF66C2" w14:paraId="1D71CD37" w14:textId="77777777" w:rsidTr="00CF66C2">
        <w:trPr>
          <w:trHeight w:val="299"/>
        </w:trPr>
        <w:tc>
          <w:tcPr>
            <w:tcW w:w="0" w:type="auto"/>
            <w:tcBorders>
              <w:top w:val="single" w:sz="4" w:space="0" w:color="000000"/>
            </w:tcBorders>
          </w:tcPr>
          <w:p w14:paraId="1C1215E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7CDFA14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28.60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A3AF08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19.39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3229DBF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10.02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0AE918D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1.38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B6A656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18.49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BC0882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18.49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1433AC9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Mycosphaerella_tassiana</w:t>
            </w:r>
            <w:proofErr w:type="spellEnd"/>
          </w:p>
        </w:tc>
      </w:tr>
      <w:tr w:rsidR="00CF66C2" w:rsidRPr="00CF66C2" w14:paraId="690A3ED6" w14:textId="77777777" w:rsidTr="00CF66C2">
        <w:trPr>
          <w:trHeight w:val="299"/>
        </w:trPr>
        <w:tc>
          <w:tcPr>
            <w:tcW w:w="0" w:type="auto"/>
          </w:tcPr>
          <w:p w14:paraId="31DA8A1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otu3</w:t>
            </w:r>
          </w:p>
        </w:tc>
        <w:tc>
          <w:tcPr>
            <w:tcW w:w="0" w:type="auto"/>
          </w:tcPr>
          <w:p w14:paraId="27EFE59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12.11</w:t>
            </w:r>
          </w:p>
        </w:tc>
        <w:tc>
          <w:tcPr>
            <w:tcW w:w="0" w:type="auto"/>
          </w:tcPr>
          <w:p w14:paraId="3948119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7.81</w:t>
            </w:r>
          </w:p>
        </w:tc>
        <w:tc>
          <w:tcPr>
            <w:tcW w:w="0" w:type="auto"/>
          </w:tcPr>
          <w:p w14:paraId="1CD7ED7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7.16</w:t>
            </w:r>
          </w:p>
        </w:tc>
        <w:tc>
          <w:tcPr>
            <w:tcW w:w="0" w:type="auto"/>
          </w:tcPr>
          <w:p w14:paraId="22BD50F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1.14</w:t>
            </w:r>
          </w:p>
        </w:tc>
        <w:tc>
          <w:tcPr>
            <w:tcW w:w="0" w:type="auto"/>
          </w:tcPr>
          <w:p w14:paraId="53D6B9D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13.22</w:t>
            </w:r>
          </w:p>
        </w:tc>
        <w:tc>
          <w:tcPr>
            <w:tcW w:w="0" w:type="auto"/>
          </w:tcPr>
          <w:p w14:paraId="6FA43ED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31.71</w:t>
            </w:r>
          </w:p>
        </w:tc>
        <w:tc>
          <w:tcPr>
            <w:tcW w:w="0" w:type="auto"/>
          </w:tcPr>
          <w:p w14:paraId="0B0C118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Cadophora</w:t>
            </w:r>
            <w:proofErr w:type="spellEnd"/>
          </w:p>
        </w:tc>
      </w:tr>
      <w:tr w:rsidR="00CF66C2" w:rsidRPr="00CF66C2" w14:paraId="5E146343" w14:textId="77777777" w:rsidTr="00CF66C2">
        <w:trPr>
          <w:trHeight w:val="299"/>
        </w:trPr>
        <w:tc>
          <w:tcPr>
            <w:tcW w:w="0" w:type="auto"/>
          </w:tcPr>
          <w:p w14:paraId="4919982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otu4</w:t>
            </w:r>
          </w:p>
        </w:tc>
        <w:tc>
          <w:tcPr>
            <w:tcW w:w="0" w:type="auto"/>
          </w:tcPr>
          <w:p w14:paraId="75EF903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5.27</w:t>
            </w:r>
          </w:p>
        </w:tc>
        <w:tc>
          <w:tcPr>
            <w:tcW w:w="0" w:type="auto"/>
          </w:tcPr>
          <w:p w14:paraId="027BC18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3.08</w:t>
            </w:r>
          </w:p>
        </w:tc>
        <w:tc>
          <w:tcPr>
            <w:tcW w:w="0" w:type="auto"/>
          </w:tcPr>
          <w:p w14:paraId="60BD33E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3.09</w:t>
            </w:r>
          </w:p>
        </w:tc>
        <w:tc>
          <w:tcPr>
            <w:tcW w:w="0" w:type="auto"/>
          </w:tcPr>
          <w:p w14:paraId="557E3F6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1.12</w:t>
            </w:r>
          </w:p>
        </w:tc>
        <w:tc>
          <w:tcPr>
            <w:tcW w:w="0" w:type="auto"/>
          </w:tcPr>
          <w:p w14:paraId="675237C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5.70</w:t>
            </w:r>
          </w:p>
        </w:tc>
        <w:tc>
          <w:tcPr>
            <w:tcW w:w="0" w:type="auto"/>
          </w:tcPr>
          <w:p w14:paraId="583237A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37.42</w:t>
            </w:r>
          </w:p>
        </w:tc>
        <w:tc>
          <w:tcPr>
            <w:tcW w:w="0" w:type="auto"/>
          </w:tcPr>
          <w:p w14:paraId="198D557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Heliotales_sps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.</w:t>
            </w:r>
          </w:p>
        </w:tc>
      </w:tr>
      <w:tr w:rsidR="00CF66C2" w:rsidRPr="00CF66C2" w14:paraId="3ED02336" w14:textId="77777777" w:rsidTr="00CF66C2">
        <w:trPr>
          <w:trHeight w:val="299"/>
        </w:trPr>
        <w:tc>
          <w:tcPr>
            <w:tcW w:w="0" w:type="auto"/>
          </w:tcPr>
          <w:p w14:paraId="4F30E18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otu5</w:t>
            </w:r>
          </w:p>
        </w:tc>
        <w:tc>
          <w:tcPr>
            <w:tcW w:w="0" w:type="auto"/>
          </w:tcPr>
          <w:p w14:paraId="21499A6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5.93</w:t>
            </w:r>
          </w:p>
        </w:tc>
        <w:tc>
          <w:tcPr>
            <w:tcW w:w="0" w:type="auto"/>
          </w:tcPr>
          <w:p w14:paraId="1FB4C2B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7.75</w:t>
            </w:r>
          </w:p>
        </w:tc>
        <w:tc>
          <w:tcPr>
            <w:tcW w:w="0" w:type="auto"/>
          </w:tcPr>
          <w:p w14:paraId="749E14B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2.89</w:t>
            </w:r>
          </w:p>
        </w:tc>
        <w:tc>
          <w:tcPr>
            <w:tcW w:w="0" w:type="auto"/>
          </w:tcPr>
          <w:p w14:paraId="6F8E439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1.33</w:t>
            </w:r>
          </w:p>
        </w:tc>
        <w:tc>
          <w:tcPr>
            <w:tcW w:w="0" w:type="auto"/>
          </w:tcPr>
          <w:p w14:paraId="3FC4DDA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5.34</w:t>
            </w:r>
          </w:p>
        </w:tc>
        <w:tc>
          <w:tcPr>
            <w:tcW w:w="0" w:type="auto"/>
          </w:tcPr>
          <w:p w14:paraId="7E779CF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42.75</w:t>
            </w:r>
          </w:p>
        </w:tc>
        <w:tc>
          <w:tcPr>
            <w:tcW w:w="0" w:type="auto"/>
          </w:tcPr>
          <w:p w14:paraId="4DCCA48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Pleosporales_sps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.</w:t>
            </w:r>
          </w:p>
        </w:tc>
      </w:tr>
      <w:tr w:rsidR="00CF66C2" w:rsidRPr="00CF66C2" w14:paraId="17C40AF9" w14:textId="77777777" w:rsidTr="00CF66C2">
        <w:trPr>
          <w:trHeight w:val="299"/>
        </w:trPr>
        <w:tc>
          <w:tcPr>
            <w:tcW w:w="0" w:type="auto"/>
          </w:tcPr>
          <w:p w14:paraId="51E39E7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otu12</w:t>
            </w:r>
          </w:p>
        </w:tc>
        <w:tc>
          <w:tcPr>
            <w:tcW w:w="0" w:type="auto"/>
          </w:tcPr>
          <w:p w14:paraId="2444136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4.25</w:t>
            </w:r>
          </w:p>
        </w:tc>
        <w:tc>
          <w:tcPr>
            <w:tcW w:w="0" w:type="auto"/>
          </w:tcPr>
          <w:p w14:paraId="62A82E4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0.72</w:t>
            </w:r>
          </w:p>
        </w:tc>
        <w:tc>
          <w:tcPr>
            <w:tcW w:w="0" w:type="auto"/>
          </w:tcPr>
          <w:p w14:paraId="690442E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1.97</w:t>
            </w:r>
          </w:p>
        </w:tc>
        <w:tc>
          <w:tcPr>
            <w:tcW w:w="0" w:type="auto"/>
          </w:tcPr>
          <w:p w14:paraId="6388052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0.66</w:t>
            </w:r>
          </w:p>
        </w:tc>
        <w:tc>
          <w:tcPr>
            <w:tcW w:w="0" w:type="auto"/>
          </w:tcPr>
          <w:p w14:paraId="743A12C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3.65</w:t>
            </w:r>
          </w:p>
        </w:tc>
        <w:tc>
          <w:tcPr>
            <w:tcW w:w="0" w:type="auto"/>
          </w:tcPr>
          <w:p w14:paraId="72EEB72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46.40</w:t>
            </w:r>
          </w:p>
        </w:tc>
        <w:tc>
          <w:tcPr>
            <w:tcW w:w="0" w:type="auto"/>
          </w:tcPr>
          <w:p w14:paraId="4AF4433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Phaeosphaeria</w:t>
            </w:r>
            <w:proofErr w:type="spellEnd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 xml:space="preserve">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triglochinicola</w:t>
            </w:r>
            <w:proofErr w:type="spellEnd"/>
          </w:p>
        </w:tc>
      </w:tr>
      <w:tr w:rsidR="00CF66C2" w:rsidRPr="00CF66C2" w14:paraId="5E2AAFF8" w14:textId="77777777" w:rsidTr="00CF66C2">
        <w:trPr>
          <w:trHeight w:val="299"/>
        </w:trPr>
        <w:tc>
          <w:tcPr>
            <w:tcW w:w="0" w:type="auto"/>
          </w:tcPr>
          <w:p w14:paraId="56E5B27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otu11</w:t>
            </w:r>
          </w:p>
        </w:tc>
        <w:tc>
          <w:tcPr>
            <w:tcW w:w="0" w:type="auto"/>
          </w:tcPr>
          <w:p w14:paraId="44FB9DE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4.70</w:t>
            </w:r>
          </w:p>
        </w:tc>
        <w:tc>
          <w:tcPr>
            <w:tcW w:w="0" w:type="auto"/>
          </w:tcPr>
          <w:p w14:paraId="03E55C4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 2.01</w:t>
            </w:r>
          </w:p>
        </w:tc>
        <w:tc>
          <w:tcPr>
            <w:tcW w:w="0" w:type="auto"/>
          </w:tcPr>
          <w:p w14:paraId="1111832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1.96</w:t>
            </w:r>
          </w:p>
        </w:tc>
        <w:tc>
          <w:tcPr>
            <w:tcW w:w="0" w:type="auto"/>
          </w:tcPr>
          <w:p w14:paraId="67E06E7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0.97</w:t>
            </w:r>
          </w:p>
        </w:tc>
        <w:tc>
          <w:tcPr>
            <w:tcW w:w="0" w:type="auto"/>
          </w:tcPr>
          <w:p w14:paraId="27F9BCA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   3.61</w:t>
            </w:r>
          </w:p>
        </w:tc>
        <w:tc>
          <w:tcPr>
            <w:tcW w:w="0" w:type="auto"/>
          </w:tcPr>
          <w:p w14:paraId="32C6C66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50.01</w:t>
            </w:r>
          </w:p>
        </w:tc>
        <w:tc>
          <w:tcPr>
            <w:tcW w:w="0" w:type="auto"/>
          </w:tcPr>
          <w:p w14:paraId="0EB5592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Capnodiales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 xml:space="preserve"> </w:t>
            </w: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sps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.</w:t>
            </w:r>
          </w:p>
        </w:tc>
      </w:tr>
      <w:tr w:rsidR="00CF66C2" w:rsidRPr="00CF66C2" w14:paraId="49882EFA" w14:textId="77777777" w:rsidTr="00CF66C2">
        <w:trPr>
          <w:trHeight w:val="299"/>
        </w:trPr>
        <w:tc>
          <w:tcPr>
            <w:tcW w:w="0" w:type="auto"/>
          </w:tcPr>
          <w:p w14:paraId="26ADA5C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6EBD46E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6E5567E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5D7EEE7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699023D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59BB3D8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7F334E4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</w:p>
        </w:tc>
        <w:tc>
          <w:tcPr>
            <w:tcW w:w="0" w:type="auto"/>
          </w:tcPr>
          <w:p w14:paraId="6E4E365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</w:p>
        </w:tc>
      </w:tr>
      <w:tr w:rsidR="00CF66C2" w:rsidRPr="00CF66C2" w14:paraId="7095D252" w14:textId="77777777" w:rsidTr="00CF66C2">
        <w:trPr>
          <w:trHeight w:val="294"/>
        </w:trPr>
        <w:tc>
          <w:tcPr>
            <w:tcW w:w="0" w:type="auto"/>
            <w:gridSpan w:val="8"/>
            <w:tcBorders>
              <w:bottom w:val="single" w:sz="4" w:space="0" w:color="000000"/>
              <w:right w:val="single" w:sz="4" w:space="0" w:color="FFFFFF"/>
            </w:tcBorders>
          </w:tcPr>
          <w:p w14:paraId="087F18A5" w14:textId="1FCD828A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Groups KE- </w:t>
            </w:r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&amp;  KE</w:t>
            </w:r>
            <w:proofErr w:type="gram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+</w:t>
            </w:r>
          </w:p>
          <w:p w14:paraId="0EE1340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Average dissimilarity = 72.32</w:t>
            </w:r>
          </w:p>
        </w:tc>
      </w:tr>
      <w:tr w:rsidR="00CF66C2" w:rsidRPr="00CF66C2" w14:paraId="3E2500EC" w14:textId="77777777" w:rsidTr="00CF66C2">
        <w:trPr>
          <w:trHeight w:val="29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EB2959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420A63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KE-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395F50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Group KE+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14:paraId="3AE523D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14:paraId="039BFDD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14:paraId="1264FC3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14:paraId="472B9F4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14:paraId="6F8AE2A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</w:tr>
      <w:tr w:rsidR="00CF66C2" w:rsidRPr="00CF66C2" w14:paraId="15874290" w14:textId="77777777" w:rsidTr="00CF66C2">
        <w:trPr>
          <w:trHeight w:val="29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CA12DA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OTUs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3E62652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FCF1CB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Av.Abund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278DCEB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proofErr w:type="gram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Av.Diss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63FC60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Diss/SD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579BDC7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Contrib</w:t>
            </w:r>
            <w:proofErr w:type="spellEnd"/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1164D13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b/>
                <w:sz w:val="18"/>
                <w:szCs w:val="18"/>
              </w:rPr>
              <w:t>Cum.%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3BAEF9D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b/>
                <w:sz w:val="18"/>
                <w:szCs w:val="18"/>
              </w:rPr>
            </w:pPr>
          </w:p>
        </w:tc>
      </w:tr>
      <w:tr w:rsidR="00CF66C2" w:rsidRPr="00CF66C2" w14:paraId="582AC44E" w14:textId="77777777" w:rsidTr="00CF66C2">
        <w:trPr>
          <w:trHeight w:val="294"/>
        </w:trPr>
        <w:tc>
          <w:tcPr>
            <w:tcW w:w="0" w:type="auto"/>
            <w:tcBorders>
              <w:top w:val="single" w:sz="4" w:space="0" w:color="000000"/>
            </w:tcBorders>
          </w:tcPr>
          <w:p w14:paraId="011150B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1051BA5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A65A6B8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29.32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18B9B86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14.65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27E3F13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1.73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6EA8B59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20.26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594C0AD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20.26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14:paraId="554877D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Cadophora</w:t>
            </w:r>
            <w:proofErr w:type="spellEnd"/>
          </w:p>
        </w:tc>
      </w:tr>
      <w:tr w:rsidR="00CF66C2" w:rsidRPr="00CF66C2" w14:paraId="574078A0" w14:textId="77777777" w:rsidTr="00CF66C2">
        <w:trPr>
          <w:trHeight w:val="294"/>
        </w:trPr>
        <w:tc>
          <w:tcPr>
            <w:tcW w:w="0" w:type="auto"/>
          </w:tcPr>
          <w:p w14:paraId="7BB9C39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otu1</w:t>
            </w:r>
          </w:p>
        </w:tc>
        <w:tc>
          <w:tcPr>
            <w:tcW w:w="0" w:type="auto"/>
          </w:tcPr>
          <w:p w14:paraId="20908CB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31.6</w:t>
            </w:r>
          </w:p>
        </w:tc>
        <w:tc>
          <w:tcPr>
            <w:tcW w:w="0" w:type="auto"/>
          </w:tcPr>
          <w:p w14:paraId="6472DF7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11.49</w:t>
            </w:r>
          </w:p>
        </w:tc>
        <w:tc>
          <w:tcPr>
            <w:tcW w:w="0" w:type="auto"/>
          </w:tcPr>
          <w:p w14:paraId="25F468D2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10.33</w:t>
            </w:r>
          </w:p>
        </w:tc>
        <w:tc>
          <w:tcPr>
            <w:tcW w:w="0" w:type="auto"/>
          </w:tcPr>
          <w:p w14:paraId="2C6612C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1.96</w:t>
            </w:r>
          </w:p>
        </w:tc>
        <w:tc>
          <w:tcPr>
            <w:tcW w:w="0" w:type="auto"/>
          </w:tcPr>
          <w:p w14:paraId="62EB825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14.28</w:t>
            </w:r>
          </w:p>
        </w:tc>
        <w:tc>
          <w:tcPr>
            <w:tcW w:w="0" w:type="auto"/>
          </w:tcPr>
          <w:p w14:paraId="7FF3E47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34.54</w:t>
            </w:r>
          </w:p>
        </w:tc>
        <w:tc>
          <w:tcPr>
            <w:tcW w:w="0" w:type="auto"/>
          </w:tcPr>
          <w:p w14:paraId="4A91D26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Mycosphaerella_tassiana</w:t>
            </w:r>
            <w:proofErr w:type="spellEnd"/>
          </w:p>
        </w:tc>
      </w:tr>
      <w:tr w:rsidR="00CF66C2" w:rsidRPr="00CF66C2" w14:paraId="554F9ABA" w14:textId="77777777" w:rsidTr="00CF66C2">
        <w:trPr>
          <w:trHeight w:val="294"/>
        </w:trPr>
        <w:tc>
          <w:tcPr>
            <w:tcW w:w="0" w:type="auto"/>
          </w:tcPr>
          <w:p w14:paraId="5F60847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otu4</w:t>
            </w:r>
          </w:p>
        </w:tc>
        <w:tc>
          <w:tcPr>
            <w:tcW w:w="0" w:type="auto"/>
          </w:tcPr>
          <w:p w14:paraId="14C6AA1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0.01</w:t>
            </w:r>
          </w:p>
        </w:tc>
        <w:tc>
          <w:tcPr>
            <w:tcW w:w="0" w:type="auto"/>
          </w:tcPr>
          <w:p w14:paraId="2478EF0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12.1</w:t>
            </w:r>
          </w:p>
        </w:tc>
        <w:tc>
          <w:tcPr>
            <w:tcW w:w="0" w:type="auto"/>
          </w:tcPr>
          <w:p w14:paraId="4E77C1B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6.04</w:t>
            </w:r>
          </w:p>
        </w:tc>
        <w:tc>
          <w:tcPr>
            <w:tcW w:w="0" w:type="auto"/>
          </w:tcPr>
          <w:p w14:paraId="634FEE03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1.84</w:t>
            </w:r>
          </w:p>
        </w:tc>
        <w:tc>
          <w:tcPr>
            <w:tcW w:w="0" w:type="auto"/>
          </w:tcPr>
          <w:p w14:paraId="0C6AC31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8.36</w:t>
            </w:r>
          </w:p>
        </w:tc>
        <w:tc>
          <w:tcPr>
            <w:tcW w:w="0" w:type="auto"/>
          </w:tcPr>
          <w:p w14:paraId="76CAB5DF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42.9</w:t>
            </w:r>
          </w:p>
        </w:tc>
        <w:tc>
          <w:tcPr>
            <w:tcW w:w="0" w:type="auto"/>
          </w:tcPr>
          <w:p w14:paraId="59B0238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Heliotales_sps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.</w:t>
            </w:r>
          </w:p>
        </w:tc>
      </w:tr>
      <w:tr w:rsidR="00CF66C2" w:rsidRPr="00CF66C2" w14:paraId="1090F677" w14:textId="77777777" w:rsidTr="00CF66C2">
        <w:trPr>
          <w:trHeight w:val="294"/>
        </w:trPr>
        <w:tc>
          <w:tcPr>
            <w:tcW w:w="0" w:type="auto"/>
          </w:tcPr>
          <w:p w14:paraId="69EFC39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otu5</w:t>
            </w:r>
          </w:p>
        </w:tc>
        <w:tc>
          <w:tcPr>
            <w:tcW w:w="0" w:type="auto"/>
          </w:tcPr>
          <w:p w14:paraId="2E30230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6.48</w:t>
            </w:r>
          </w:p>
        </w:tc>
        <w:tc>
          <w:tcPr>
            <w:tcW w:w="0" w:type="auto"/>
          </w:tcPr>
          <w:p w14:paraId="07BD4201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4.06</w:t>
            </w:r>
          </w:p>
        </w:tc>
        <w:tc>
          <w:tcPr>
            <w:tcW w:w="0" w:type="auto"/>
          </w:tcPr>
          <w:p w14:paraId="0299CE2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3.21</w:t>
            </w:r>
          </w:p>
        </w:tc>
        <w:tc>
          <w:tcPr>
            <w:tcW w:w="0" w:type="auto"/>
          </w:tcPr>
          <w:p w14:paraId="61863A9B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1.55</w:t>
            </w:r>
          </w:p>
        </w:tc>
        <w:tc>
          <w:tcPr>
            <w:tcW w:w="0" w:type="auto"/>
          </w:tcPr>
          <w:p w14:paraId="75832BF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4.44</w:t>
            </w:r>
          </w:p>
        </w:tc>
        <w:tc>
          <w:tcPr>
            <w:tcW w:w="0" w:type="auto"/>
          </w:tcPr>
          <w:p w14:paraId="443B9E6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47.34</w:t>
            </w:r>
          </w:p>
        </w:tc>
        <w:tc>
          <w:tcPr>
            <w:tcW w:w="0" w:type="auto"/>
          </w:tcPr>
          <w:p w14:paraId="3E384A8E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Pleosporales_sps</w:t>
            </w:r>
            <w:proofErr w:type="spellEnd"/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.</w:t>
            </w:r>
          </w:p>
        </w:tc>
      </w:tr>
      <w:tr w:rsidR="00CF66C2" w:rsidRPr="00CF66C2" w14:paraId="1FDB8AA8" w14:textId="77777777" w:rsidTr="00CF66C2">
        <w:trPr>
          <w:trHeight w:val="294"/>
        </w:trPr>
        <w:tc>
          <w:tcPr>
            <w:tcW w:w="0" w:type="auto"/>
          </w:tcPr>
          <w:p w14:paraId="244BF4A5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otu6</w:t>
            </w:r>
          </w:p>
        </w:tc>
        <w:tc>
          <w:tcPr>
            <w:tcW w:w="0" w:type="auto"/>
          </w:tcPr>
          <w:p w14:paraId="10F52760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7.36</w:t>
            </w:r>
          </w:p>
        </w:tc>
        <w:tc>
          <w:tcPr>
            <w:tcW w:w="0" w:type="auto"/>
          </w:tcPr>
          <w:p w14:paraId="27F441A7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1.83</w:t>
            </w:r>
          </w:p>
        </w:tc>
        <w:tc>
          <w:tcPr>
            <w:tcW w:w="0" w:type="auto"/>
          </w:tcPr>
          <w:p w14:paraId="60876AD9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2.81</w:t>
            </w:r>
          </w:p>
        </w:tc>
        <w:tc>
          <w:tcPr>
            <w:tcW w:w="0" w:type="auto"/>
          </w:tcPr>
          <w:p w14:paraId="461AF61A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1.05</w:t>
            </w:r>
          </w:p>
        </w:tc>
        <w:tc>
          <w:tcPr>
            <w:tcW w:w="0" w:type="auto"/>
          </w:tcPr>
          <w:p w14:paraId="1360132C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3.89</w:t>
            </w:r>
          </w:p>
        </w:tc>
        <w:tc>
          <w:tcPr>
            <w:tcW w:w="0" w:type="auto"/>
          </w:tcPr>
          <w:p w14:paraId="67CC3CA6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18"/>
              </w:rPr>
            </w:pPr>
            <w:r w:rsidRPr="00CF66C2">
              <w:rPr>
                <w:rFonts w:ascii="Palatino Linotype" w:eastAsia="Times New Roman" w:hAnsi="Palatino Linotype"/>
                <w:sz w:val="18"/>
                <w:szCs w:val="18"/>
              </w:rPr>
              <w:t>51.23</w:t>
            </w:r>
          </w:p>
        </w:tc>
        <w:tc>
          <w:tcPr>
            <w:tcW w:w="0" w:type="auto"/>
          </w:tcPr>
          <w:p w14:paraId="213F98F4" w14:textId="77777777" w:rsidR="00CF66C2" w:rsidRPr="00CF66C2" w:rsidRDefault="00CF66C2" w:rsidP="00CF66C2">
            <w:pPr>
              <w:spacing w:after="0" w:line="240" w:lineRule="auto"/>
              <w:rPr>
                <w:rFonts w:ascii="Palatino Linotype" w:eastAsia="Times New Roman" w:hAnsi="Palatino Linotype"/>
                <w:i/>
                <w:sz w:val="18"/>
                <w:szCs w:val="18"/>
              </w:rPr>
            </w:pP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Vishniacozyma</w:t>
            </w:r>
            <w:proofErr w:type="spellEnd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 xml:space="preserve"> </w:t>
            </w:r>
            <w:proofErr w:type="spellStart"/>
            <w:r w:rsidRPr="00CF66C2">
              <w:rPr>
                <w:rFonts w:ascii="Palatino Linotype" w:eastAsia="Times New Roman" w:hAnsi="Palatino Linotype"/>
                <w:i/>
                <w:sz w:val="18"/>
                <w:szCs w:val="18"/>
              </w:rPr>
              <w:t>victoriae</w:t>
            </w:r>
            <w:proofErr w:type="spellEnd"/>
          </w:p>
        </w:tc>
      </w:tr>
    </w:tbl>
    <w:p w14:paraId="684C673D" w14:textId="77777777" w:rsidR="00D70038" w:rsidRPr="00D70038" w:rsidRDefault="00D70038" w:rsidP="00CF66C2">
      <w:pPr>
        <w:jc w:val="both"/>
        <w:rPr>
          <w:rFonts w:ascii="Palatino Linotype" w:hAnsi="Palatino Linotype"/>
          <w:sz w:val="20"/>
          <w:szCs w:val="20"/>
          <w:lang w:val="en-GB"/>
        </w:rPr>
      </w:pPr>
    </w:p>
    <w:sectPr w:rsidR="00D70038" w:rsidRPr="00D70038" w:rsidSect="00CF66C2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33"/>
    <w:rsid w:val="001A6E94"/>
    <w:rsid w:val="00474BF1"/>
    <w:rsid w:val="00504D33"/>
    <w:rsid w:val="0072562E"/>
    <w:rsid w:val="00731923"/>
    <w:rsid w:val="0098207A"/>
    <w:rsid w:val="00CF66C2"/>
    <w:rsid w:val="00D70038"/>
    <w:rsid w:val="00D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805028"/>
  <w15:chartTrackingRefBased/>
  <w15:docId w15:val="{0596BF05-5812-4886-BF28-84CF4630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 Mathew</dc:creator>
  <cp:keywords/>
  <dc:description/>
  <cp:lastModifiedBy>Suni Mathew</cp:lastModifiedBy>
  <cp:revision>8</cp:revision>
  <dcterms:created xsi:type="dcterms:W3CDTF">2022-11-03T05:22:00Z</dcterms:created>
  <dcterms:modified xsi:type="dcterms:W3CDTF">2022-11-22T11:10:00Z</dcterms:modified>
</cp:coreProperties>
</file>